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36" w:lineRule="auto"/>
        <w:jc w:val="center"/>
      </w:pPr>
      <w:r>
        <w:rPr>
          <w:rFonts w:ascii="Times New Roman" w:hAnsi="Times New Roman" w:eastAsia="黑体"/>
          <w:b/>
          <w:color w:val="0B3A5C"/>
          <w:sz w:val="36"/>
        </w:rPr>
        <w:t>埃及主要的非政府组织：发展合作、公共卫生、气候环境与妇女儿童议题的行动者图鉴</w:t>
      </w:r>
    </w:p>
    <w:p>
      <w:pPr>
        <w:spacing w:after="80" w:line="336" w:lineRule="auto"/>
        <w:jc w:val="center"/>
      </w:pPr>
      <w:r>
        <w:rPr>
          <w:rFonts w:ascii="Times New Roman" w:hAnsi="Times New Roman" w:eastAsia="宋体"/>
          <w:b w:val="0"/>
          <w:color w:val="4B5563"/>
          <w:sz w:val="19"/>
        </w:rPr>
        <w:t>corpusdi 区域国别数据开放平台 · 国别研究（中东·北非）· 可持续发展领域分析</w:t>
      </w:r>
    </w:p>
    <w:p>
      <w:pPr>
        <w:spacing w:after="80" w:line="336" w:lineRule="auto"/>
        <w:jc w:val="center"/>
      </w:pPr>
      <w:r>
        <w:rPr>
          <w:rFonts w:ascii="Times New Roman" w:hAnsi="Times New Roman" w:eastAsia="宋体"/>
          <w:b w:val="0"/>
          <w:color w:val="4B5563"/>
          <w:sz w:val="19"/>
        </w:rPr>
        <w:t>资料来源：各机构官方网站与年度报告、埃及社会团结部登记信息、UPR 利益相关方报告、Carnegie 基金会、Athar Award 2026 及对象国本地媒体公开报道</w:t>
      </w:r>
    </w:p>
    <w:p/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摘要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埃及拥有阿拉伯世界规模最大的公民社会部门之一——在社会团结部登记的协会与基金会数以万计，从 19 世纪的宗教慈善传统，到 20 世纪 80 年代兴起的妇女权利组织，再到 2017 年后成型的"联盟化"公民发展工作体系，构成了一个分层清晰、议题覆盖广泛、但监管环境高度受限的行动者网络。本文基于各机构官网、埃及 UPR 利益相关方联合报告、Carnegie 基金会研究及 Athar Award 2026 等公开资料，系统梳理埃及 30 家主要非政府组织，按五大议题分组：发展合作（Misr El Kheir、Resala、Dar Al Orman、埃及食物银行、Sawiris 基金会、CEOSS、Caritas Egypt、CARE Egypt 等 9 家）；公共卫生（Magdi Yacoub 心脏基金会、57357 儿童肿瘤医院、Ahl Masr 烧伤医院、Baheya、Mersal 等 7 家）；气候变化与环境、生物多样性（Nature Conservation Egypt、VeryNile、Banlastic、Greenish、Thalassains、YouThinkGreen 等 6 家）；儿童与女性（Banati、Save the Children Egypt、Plan International Egypt、New Woman Foundation、CEWLA、Tadwein、Nazra、Edraak、ECWR 等 9 家）；并单列研究倡导类机构（EIPR、CIHRS）。三个结构性观察贯穿全文：其一，埃及 NGO 部门的主体是"服务交付型"而非"倡导型"——大型慈善与发展基金会深度嵌入国家主导的社会保护体系（如 NACDW 联盟），而独立倡导机构的活动空间持续收窄；其二，公共卫生领域出现了全球罕见的高水平"专科医院型 NGO"；其三，环境部门在 COP27 后加速成长，但受制于废弃物管理基础设施长期欠账（2018–2019 财年固废预算仅 40 亿埃镑，占总预算 1/356）。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一、制度环境：法律框架与"联盟化"重组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理解埃及 NGO 图鉴的前提是理解其法律与制度框架。埃及公民社会的监管主线经历了三次切换：1956/1964 年法案（纳赛尔时期的强国家控制）、Law 84/2002（穆巴拉克时期，要求所有组织在社会团结部登记并限制其活动与外国资金）、Law 70/2017（现行框架，进一步收紧对国际资助与境外 NGO 的管控）。这决定了两个基本事实：所有在埃及合法运营的 NGO 均须在 MoSS 登记；接受外国资金需要额外审批。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2017 年之后的结构性变化是"联盟化"。全国公民发展工作联盟（National Alliance for Civil Development Work, NACDW）在总统府支持下成立，整合了数十家大型慈善与发展基金会，由前外交部长 Nabila Makram 大使领导其技术秘书处。联盟以"政府部委—私营部门—公民社会"三方协同（"黄金三角"）为框架，统一数据库、集中报告与需求缺口识别。2026 年的 Athar Award 颁奖典礼上，联盟进一步发布了公民工作数据观测站（Civil Work Data Observatory），试图为政策制定者提供实时数据驱动的行业图景——这一动作本身就是对"二手信息不可靠"这一行业痛点的回应。</w:t>
      </w:r>
    </w:p>
    <w:p>
      <w:pPr>
        <w:spacing w:after="160"/>
        <w:ind w:left="340"/>
      </w:pPr>
      <w:r>
        <w:rPr>
          <w:rFonts w:ascii="Times New Roman" w:hAnsi="Times New Roman" w:eastAsia="宋体"/>
          <w:i/>
          <w:color w:val="4B5563"/>
          <w:sz w:val="20"/>
        </w:rPr>
        <w:t>Athar Award 2026 十大支柱与获奖机构（数据为各机构报告口径）：教育（Resala，非正规教育覆盖 78,000 人）；健康（Orman，Shifa El-Orman 医院服务上埃及 949,634 人）；经济赋权与就业（Sonaa El-Kheir，"Momken" 计划创造 10,806 个岗位）；社会赋权（Abou El-Enein，90,551 名受益人）；基础设施与基本服务（Hayah Karima，Menoufia 省 El-Sanabsa 村综合开发）；环境（CEOSS，"Izraa" 计划覆盖 16 省 10 万农民）；文化与体育（El-Garhy，154,141 名受益人）；治理与机构发展（Misr El-Kheir）；救济与应急（Raie Masr，2025 年 7,221 次医疗巡回、210 万次诊疗）；志愿服务（Sonaa El-Hayah）。</w:t>
      </w:r>
    </w:p>
    <w:p>
      <w:pPr>
        <w:spacing w:after="200" w:line="336" w:lineRule="auto"/>
        <w:jc w:val="both"/>
      </w:pPr>
      <w:r>
        <w:rPr>
          <w:rFonts w:ascii="Times New Roman" w:hAnsi="Times New Roman" w:eastAsia="宋体"/>
          <w:b w:val="0"/>
          <w:color w:val="4B5563"/>
          <w:sz w:val="18"/>
        </w:rPr>
        <w:t>注：上述数字均为颁奖方或机构自报口径，corpusdi 数据库对每项保留"自报/第三方"字段。这一奖项体系是观察埃及"服务交付型" NGO 部门绩效的最集中窗口。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二、发展合作类：从慈善到可持续生计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发展合作是埃及 NGO 部门体量最大的板块，其共同特征是：以捐款（含天课 Zakat 与自愿施舍 Sadaqa）为主要资金来源、以全国分支网络为渠道、近年普遍从"输血式慈善"转向"造血式发展"（小额信贷、职业培训、社会企业孵化）。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1：发展合作类主要机构一览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机构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成立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核心领域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规模/特色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Misr El Kheir Foundation（埃及之光）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2007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健康、教育、科研、社会团结、生计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埃及最大综合发展基金会之一；Athar 治理奖得主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Resala Charity Organization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1999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孤儿、残障、小额信贷、扫盲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60+ 分支、15 个业务单元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Dar Al Orman Association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1993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医疗、孤儿住房、食物、小额信贷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最老牌机构之一；上埃及 Shifa El-Orman 医院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Egyptian Food Bank（埃及食物银行）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2006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反饥饿、食物浪费、校餐、小农支持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埃及首家反饥饿专门机构；企业界 CSR 发起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Sawiris Foundation for Social Development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2001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教育、奖学金、职业培训、社区赋权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Sawiris 家族资助型基金会；Banati 主要捐助方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Hayah Karima Foundation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—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村庄综合发展、基础设施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NACDW 成员；承接国家"体面生活"议程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CEOSS（科普特福音社会服务组织）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1950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农村发展、农业、跨信仰对话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"Izraa"计划覆盖 16 省 10 万农民；Athar 环境奖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Caritas Egypt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1967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难民服务、职业培训、儿童教育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联合国难民署（UNHCR）正式伙伴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CARE Egypt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1954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边缘社区生计、农业价值链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CARE International 埃及国别办公室</w:t>
            </w:r>
          </w:p>
        </w:tc>
      </w:tr>
    </w:tbl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Misr El Kheir Foundation 是"发展型慈善"的代表：除传统救济外，其运作逻辑被本地媒体概括为"把慈善变成投资"——小额信贷、健康/科技/教育领域的社会企业资助并行，其治理体系在 Athar Award 2026 中获治理与机构发展奖。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Egyptian Food Bank（2006 年由一群企业家发起）是埃及首家反饥饿专门机构，从斋月食物包（35–5,000 埃镑不等）到校餐计划、小农支持，再到针对食物浪费的公众倡导，形成了"救援—分配—生产"三环模式，是研究埃及食物主权议题时不可绕过的节点机构。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CEOSS 是埃及最老牌的发展机构之一（1950 年由福音派教会发起），其独特性在于跨越宗教界限的服务（不以宗教为受益门槛）与深度农村工作——"Izraa"（种植）计划惠及 16 个省的 10 万农民。国际网络方面，Caritas Egypt（1967 年起运营，UNHCR 正式伙伴）与 CARE Egypt 为国际资助方进入埃及提供了成熟的本地合作管道。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三、公共卫生类：全球罕见的"专科医院型 NGO"集群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埃及公共卫生 NGO 部门的独特之处在于：多个细分专科各有标杆机构，且全部提供免费服务、以公众捐款为主要资金来源——这一"医院即 NGO"模式在中东乃至全球都属高密度。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2：公共卫生类主要机构一览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机构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成立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专科领域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规模/特色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Magdi Yacoub Heart Foundation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2008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心脏外科、心脏研究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阿斯旺心脏中心（2009）；免费手术+培训+科研三线并行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Children's Cancer Hospital 57357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2007 开院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儿童肿瘤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全球最大儿童肿瘤专科医院之一；全额捐款运营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Ahl Masr Foundation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2013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烧伤防治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埃及及中东首家专门烧伤医院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Baheya Foundation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2015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乳腺癌早筛与治疗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免费筛查-诊断-治疗全链条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Mersal Foundation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—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医疗急救众筹、医院诊所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社交媒体时代的医疗众筹标杆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Egyptian Cure Bank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—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疾病预防、医疗救助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"治疗银行"模式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500 500 Association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—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癌症药物援助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面向支付不起药费的肿瘤患者</w:t>
            </w:r>
          </w:p>
        </w:tc>
      </w:tr>
    </w:tbl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Magdi Yacoub Heart Foundation（MYF）的组织史浓缩了埃及精英慈善的路径：世界级心外科医生 Sir Magdi Yacoub 1995 年在英国创立 Chain of Hope，2008 年回国成立基金会，2009 年在阿斯旺建立心脏中心。据《金字塔报》英文版（Ahram Online）报道，该中心已成为埃及唯一全埃团队独立完成"经导管肺动脉瓣置换"的机构（截至 2025 年完成 19 例），并以定期面向各省心内科医生的培训课程实现技术外溢。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57357 儿童肿瘤医院（其名称即其捐款账户号码）是埃及公众慈善动员能力的标志：全额捐款运营的免费儿童肿瘤治疗加科研综合体，长期被视为埃及公民社会信任度最高的品牌之一。Ahl Masr 以"无烧伤的人类"为使命，建成埃及乃至中东首家专门烧伤医院。Baheya 聚焦乳腺癌早筛，Mersal 代表了 2010 年代后社交媒体驱动的医疗众筹新物种。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四、气候变化、环境与生物多样性类：COP27 前后成型的青年部门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环境是埃及 NGO 部门最年轻、增长最快的板块。Carnegie 国际和平基金会 2023 年研究指出，Greenish、VeryNile、Banlastic 三家最具辨识度的草根环境组织均成立于 2017–2018 年，最初以清理行动为公众切入，随后推动实质性减塑政策游说；2022 年沙姆沙伊赫 COP27 之后，气候议题的组织密度与公众可见度进一步提升。但该部门也面对结构性约束：埃及每年产生约 250 万吨塑料垃圾，而 2018–2019 财年全国固体废弃物管理预算仅约 40 亿埃镑（占总预算约 1/356），《废弃物管理法》（Law 202/2020）确立的生产者责任延伸（EPR）制度至今缺乏清晰实施细则。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3：环境与生物多样性类主要机构一览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机构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成立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核心领域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规模/特色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Nature Conservation Egypt（NCE）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—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生物多样性、保护区、观鸟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保护科学+倡导+在地项目；国际鸟盟埃及伙伴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VeryNile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2018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尼罗河清理、塑料回收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Bassita 发起；渔民合作社回收；Qursaya 岛女性就业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Banlastic Egypt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2018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禁一次性塑料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亚历山大；推动红海/南西奈 2019 限塑令；BeMed 资助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Greenish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2017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环境教育、气候脆弱社区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青年+艺术路径；环境节与社区评估服务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Thalassains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—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红海海洋保护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公民科学+"守护海洋"潜水社区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YouThinkGreen Egypt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2013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青年可持续教育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动手式项目培养青年环境领袖</w:t>
            </w:r>
          </w:p>
        </w:tc>
      </w:tr>
    </w:tbl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NCE 是生物多样性议题的专业机构，以保护研究、倡导与在地保护项目为主线，是国际鸟盟网络在埃及的伙伴组织——对研究埃及鸟类迁徙、湿地与保护区治理的读者，NCE 的报告与公民科学数据是最重要的本地一手来源之一。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VeryNile 与 Banlastic 代表"行动型"环境组织的两条路径。VeryNile 由社会企业 Bassita 于 2018 年发起，是尼罗河大规模清理的先行者；其与 Beyond Plastic Med（BeMed）合作的"Nile Plastic"项目建立了渔民—拾荒者合作社回收网络（培训 40 名渔民、远超原定 12 人目标），并将回收链条与 Qursaya 岛女性就业连接——环境干预与生计干预在此重合。Banlastic 立足亚历山大，以"禁一次性塑料"为单一议题，其"Run for COP29"项目以零塑马拉松、骑行等活动累计覆盖亚历山大至巴库 2,900 公里里程。红海沿岸的 Thalassains 以潜水社区与公民科学守护珊瑚礁，补充了海洋保护维度。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五、儿童与女性类：两个历史层积的叠合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妇女儿童议题呈现埃及 NGO 部门最清晰的"两个层积"：上层是 1980 年代以来延续至今的女权研究与倡导传统（New Woman Foundation 1984 年以读书会起步），下层是 2010 年代后快速专业化的儿童服务部门（Banati 2010 年成立）。前者活动空间收窄但知识生产仍在延续，后者与国际资助体系（AFD、瑞典使馆、加拿大 CFLI、Drosos）深度绑定。</w:t>
      </w:r>
    </w:p>
    <w:p>
      <w:pPr>
        <w:spacing w:before="200" w:after="80"/>
      </w:pPr>
      <w:r>
        <w:rPr>
          <w:rFonts w:ascii="Times New Roman" w:hAnsi="Times New Roman" w:eastAsia="黑体"/>
          <w:b/>
          <w:color w:val="0E7C8A"/>
          <w:sz w:val="24"/>
        </w:rPr>
        <w:t>表 4：儿童与女性类主要机构一览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机构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成立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核心领域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color w:val="0B3A5C"/>
                <w:sz w:val="19"/>
              </w:rPr>
              <w:t>规模/特色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Banati Foundation（Abnaa Alghad）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2010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街头女童与高危儿童保护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MoSS 登记 615/2012；Haram City 永久庇护所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Save the Children Egypt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1982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儿童教育、健康、保护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覆盖 20 个省；自称参与推动儿童死亡率下降 53%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Plan International Egypt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—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女童权利、教育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国际组织；Banati 等本地伙伴的资助方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New Woman Foundation（新女性基金会）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1984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女权研究、生殖权利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埃及女权运动活化石；UPR 联合报告署名机构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CEWLA（埃及妇女法律援助中心）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1995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妇女法律援助、普法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以 CEDAW 为工作框架；UPR 联合报告主提交机构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Tadwein for Gender Studies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2014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性别议题循证研究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以证据为中心的政策倡导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Nazra for Feminist Studies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2007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性别主流化、女性政治参与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2011 年创办女性政治参与学院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Edraak Foundation for Development and Equality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2019 登记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反性别暴力、妇女公共参与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MoSS 登记 11014/2019</w:t>
            </w:r>
          </w:p>
        </w:tc>
      </w:tr>
      <w:tr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ECWR（埃及妇女权利中心）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1996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妇女法律权利、家庭法改革</w:t>
            </w:r>
          </w:p>
        </w:tc>
        <w:tc>
          <w:tcPr>
            <w:tcW w:type="dxa" w:w="2239"/>
          </w:tcPr>
          <w:p>
            <w:pPr>
              <w:jc w:val="center"/>
            </w:pPr>
            <w:r/>
            <w:r>
              <w:rPr>
                <w:rFonts w:ascii="Times New Roman" w:hAnsi="Times New Roman" w:eastAsia="宋体"/>
                <w:color w:val="1F2937"/>
                <w:sz w:val="18"/>
              </w:rPr>
              <w:t>独立、无党派；长期推动个人身份法改革</w:t>
            </w:r>
          </w:p>
        </w:tc>
      </w:tr>
    </w:tbl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Banati Foundation（"我的女儿们"）由开罗大学儿科与临床营养学教授 Hanna Aboulghar 博士发起，Samih Sawiris 捐地捐楼、Sawiris 基金会承担运营成本起步，专注街头处境女童：外展团队—接待中心—Haram City 永久庇护所三级体系，以个案管理（社工+心理+法律+教育）推进家庭再融入，合作伙伴横跨法国开发署（AFD "Girls Unbound"）、瑞典使馆、加拿大 CFLI、Drosos 基金会等——它是观察"本地机构+国际资助"合作模式的最佳样本之一。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妇女权利倡导侧，2024 年埃及 UPR 第四轮审议的利益相关方联合报告由 CEWLA 主提交、EIPR、New Woman Foundation、Tadwein、Edraak 等联合署名，工作议题覆盖家庭暴力立法、生殖健康权利、妇女公共参与与气候变化的性别影响——这份报告本身即是测绘埃及女权组织网络的一张"活地图"。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六、研究倡导类：窄空间里的知识生产者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埃及个人权利倡议（EIPR，2002 年成立）以"研究—倡导—诉讼"三件套工作于公民自由、经济社会权利与刑事正义领域，是埃及独立权利研究的主力机构。开罗人权研究所（CIHRS）则以人权政策研究与区域倡导见长。需要如实记录的是：Carnegie 等机构的评估显示，埃及独立倡导类 NGO 面临资产冻结、旅行禁令等系统性压力，部分从业者已在海外流亡状态下继续运营——这正是本文开头"服务交付型为主、倡导型收窄"判断的注脚。对国际研究者而言，这两家机构产出的报告仍是最系统的埃及权利状况一手文献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七、结语：三个可操作的数据观察</w:t>
      </w:r>
    </w:p>
    <w:p>
      <w:pPr>
        <w:spacing w:after="120" w:line="336" w:lineRule="auto"/>
        <w:jc w:val="both"/>
      </w:pPr>
      <w:r>
        <w:rPr>
          <w:rFonts w:ascii="Times New Roman" w:hAnsi="Times New Roman" w:eastAsia="宋体"/>
          <w:b w:val="0"/>
          <w:color w:val="1F2937"/>
          <w:sz w:val="22"/>
        </w:rPr>
        <w:t>对国际发展合作机构（包括本平台 Diinsider 网络）而言，埃及 NGO 图鉴可归纳为三条实用线索：</w:t>
      </w:r>
    </w:p>
    <w:p>
      <w:pPr>
        <w:spacing w:after="60"/>
        <w:ind w:left="425"/>
      </w:pPr>
      <w:r>
        <w:rPr>
          <w:b/>
          <w:sz w:val="22"/>
        </w:rPr>
        <w:t xml:space="preserve">1. </w:t>
      </w:r>
      <w:r>
        <w:rPr>
          <w:rFonts w:ascii="Times New Roman" w:hAnsi="Times New Roman" w:eastAsia="宋体"/>
          <w:color w:val="1F2937"/>
          <w:sz w:val="22"/>
        </w:rPr>
        <w:t>识别伙伴先看"登记身份与联盟归属"。Law 70/2017 框架下，MoSS 登记号、NACDW 成员身份与国际资助审批状态，共同决定了一家机构能否合规地与外国机构合作。Athar Award 的十大支柱获奖名单实际上是官方体系认可度的一份年度快照。</w:t>
      </w:r>
    </w:p>
    <w:p>
      <w:pPr>
        <w:spacing w:after="60"/>
        <w:ind w:left="425"/>
      </w:pPr>
      <w:r>
        <w:rPr>
          <w:b/>
          <w:sz w:val="22"/>
        </w:rPr>
        <w:t xml:space="preserve">2. </w:t>
      </w:r>
      <w:r>
        <w:rPr>
          <w:rFonts w:ascii="Times New Roman" w:hAnsi="Times New Roman" w:eastAsia="宋体"/>
          <w:color w:val="1F2937"/>
          <w:sz w:val="22"/>
        </w:rPr>
        <w:t>按议题选"生态位"。公共卫生找专科医院型 NGO（MYF、57357），社区发展找综合基金会（Misr El Kheir、CEOSS），环境找青年行动组织（VeryNile、Banlastic），妇女儿童找专业服务+倡导双轨机构（Banati、CEWLA），难民议题找 UNHCR 伙伴（Caritas Egypt）。每个生态位的资金结构、治理水平与风险敞口截然不同。</w:t>
      </w:r>
    </w:p>
    <w:p>
      <w:pPr>
        <w:spacing w:after="60"/>
        <w:ind w:left="425"/>
      </w:pPr>
      <w:r>
        <w:rPr>
          <w:b/>
          <w:sz w:val="22"/>
        </w:rPr>
        <w:t xml:space="preserve">3. </w:t>
      </w:r>
      <w:r>
        <w:rPr>
          <w:rFonts w:ascii="Times New Roman" w:hAnsi="Times New Roman" w:eastAsia="宋体"/>
          <w:color w:val="1F2937"/>
          <w:sz w:val="22"/>
        </w:rPr>
        <w:t>对"自报数字"保持口径意识。本文引用的受益人数、服务量均来自机构自报或颁奖方转述，corpusdi 数据库对每项保留"自报/第三方核验"字段——这与本平台孟加拉、沙特、印尼文的方法论一致：单一口径、单一时点的国别数据足以误导判断。</w:t>
      </w:r>
    </w:p>
    <w:p>
      <w:pPr>
        <w:spacing w:before="280" w:after="120"/>
      </w:pPr>
      <w:r>
        <w:rPr>
          <w:rFonts w:ascii="Times New Roman" w:hAnsi="Times New Roman" w:eastAsia="黑体"/>
          <w:b/>
          <w:color w:val="0B3A5C"/>
          <w:sz w:val="28"/>
        </w:rPr>
        <w:t>主要资料来源</w:t>
      </w:r>
    </w:p>
    <w:p>
      <w:pPr>
        <w:spacing w:after="60"/>
        <w:ind w:left="425"/>
      </w:pPr>
      <w:r>
        <w:rPr>
          <w:b/>
          <w:sz w:val="22"/>
        </w:rPr>
        <w:t xml:space="preserve">1. </w:t>
      </w:r>
      <w:r>
        <w:rPr>
          <w:rFonts w:ascii="Times New Roman" w:hAnsi="Times New Roman" w:eastAsia="宋体"/>
          <w:color w:val="1F2937"/>
          <w:sz w:val="22"/>
        </w:rPr>
        <w:t>各机构官方网站：Misr El Kheir（misrelkheir.org）、Resala（resala.org）、Egyptian Food Bank（efb.eg）、Magdi Yacoub Heart Foundation（myf-egypt.org）、Banati Foundation（banatifoundation.org）、CEWLA（cewla.net）、New Woman Foundation（nwrcegypt.org）、Tadwein（tadwein.org）、Edraak（edraak-eg.org）、EIPR（eipr.org）、Nature Conservation Egypt（natureconservationegypt.org）等（检索日期：2026-09-18）</w:t>
      </w:r>
    </w:p>
    <w:p>
      <w:pPr>
        <w:spacing w:after="60"/>
        <w:ind w:left="425"/>
      </w:pPr>
      <w:r>
        <w:rPr>
          <w:b/>
          <w:sz w:val="22"/>
        </w:rPr>
        <w:t xml:space="preserve">2. </w:t>
      </w:r>
      <w:r>
        <w:rPr>
          <w:rFonts w:ascii="Times New Roman" w:hAnsi="Times New Roman" w:eastAsia="宋体"/>
          <w:color w:val="1F2937"/>
          <w:sz w:val="22"/>
        </w:rPr>
        <w:t>联合国人权理事会普遍定期审议（UPR）埃及第四轮利益相关方联合报告（2024 年 7 月）：CEWLA 主提交，EIPR、NWF、Tadwein、Edraak 等署名。https://uprdoc.ohchr.org（检索日期：2026-09-18）</w:t>
      </w:r>
    </w:p>
    <w:p>
      <w:pPr>
        <w:spacing w:after="60"/>
        <w:ind w:left="425"/>
      </w:pPr>
      <w:r>
        <w:rPr>
          <w:b/>
          <w:sz w:val="22"/>
        </w:rPr>
        <w:t xml:space="preserve">3. </w:t>
      </w:r>
      <w:r>
        <w:rPr>
          <w:rFonts w:ascii="Times New Roman" w:hAnsi="Times New Roman" w:eastAsia="宋体"/>
          <w:color w:val="1F2937"/>
          <w:sz w:val="22"/>
        </w:rPr>
        <w:t>CSR Egypt / Athar Award 2026：十大发展支柱获奖机构与受益人数据；公民工作数据观测站发布。https://www.csregypt.com（检索日期：2026-09-18）</w:t>
      </w:r>
    </w:p>
    <w:p>
      <w:pPr>
        <w:spacing w:after="60"/>
        <w:ind w:left="425"/>
      </w:pPr>
      <w:r>
        <w:rPr>
          <w:b/>
          <w:sz w:val="22"/>
        </w:rPr>
        <w:t xml:space="preserve">4. </w:t>
      </w:r>
      <w:r>
        <w:rPr>
          <w:rFonts w:ascii="Times New Roman" w:hAnsi="Times New Roman" w:eastAsia="宋体"/>
          <w:color w:val="1F2937"/>
          <w:sz w:val="22"/>
        </w:rPr>
        <w:t>Carnegie 国际和平基金会：Meeting Egypt's Environmental Challenges（2023-12）。https://carnegieendowment.org（检索日期：2026-09-18）</w:t>
      </w:r>
    </w:p>
    <w:p>
      <w:pPr>
        <w:spacing w:after="60"/>
        <w:ind w:left="425"/>
      </w:pPr>
      <w:r>
        <w:rPr>
          <w:b/>
          <w:sz w:val="22"/>
        </w:rPr>
        <w:t xml:space="preserve">5. </w:t>
      </w:r>
      <w:r>
        <w:rPr>
          <w:rFonts w:ascii="Times New Roman" w:hAnsi="Times New Roman" w:eastAsia="宋体"/>
          <w:color w:val="1F2937"/>
          <w:sz w:val="22"/>
        </w:rPr>
        <w:t>Ahram Online：Magdi Yacoub Foundation 心脏介入技术与培训项目报道（2025-07）。https://english.ahram.org.eg（检索日期：2026-09-18）</w:t>
      </w:r>
    </w:p>
    <w:p>
      <w:pPr>
        <w:spacing w:after="60"/>
        <w:ind w:left="425"/>
      </w:pPr>
      <w:r>
        <w:rPr>
          <w:b/>
          <w:sz w:val="22"/>
        </w:rPr>
        <w:t xml:space="preserve">6. </w:t>
      </w:r>
      <w:r>
        <w:rPr>
          <w:rFonts w:ascii="Times New Roman" w:hAnsi="Times New Roman" w:eastAsia="宋体"/>
          <w:color w:val="1F2937"/>
          <w:sz w:val="22"/>
        </w:rPr>
        <w:t>The Arab Weekly / BeMed：埃及塑料污染与本地项目（VeryNile 渔民合作社、Banlastic "Run for COP29"、埃及年产塑料垃圾约 250 万吨）。http://thearabweekly.com（检索日期：2026-09-18）</w:t>
      </w:r>
    </w:p>
    <w:p>
      <w:pPr>
        <w:spacing w:after="60"/>
        <w:ind w:left="425"/>
      </w:pPr>
      <w:r>
        <w:rPr>
          <w:b/>
          <w:sz w:val="22"/>
        </w:rPr>
        <w:t xml:space="preserve">7. </w:t>
      </w:r>
      <w:r>
        <w:rPr>
          <w:rFonts w:ascii="Times New Roman" w:hAnsi="Times New Roman" w:eastAsia="宋体"/>
          <w:color w:val="1F2937"/>
          <w:sz w:val="22"/>
        </w:rPr>
        <w:t>埃及国家立法：Law 84/2002、Law 70/2017（社团与基金会法）、Law 202/2020（废弃物管理法）；社会团结部（MoSS）登记信息（Banati 登记 615/2012、Edraak 登记 11014/2019）</w:t>
      </w:r>
    </w:p>
    <w:p>
      <w:pPr>
        <w:spacing w:after="60"/>
        <w:ind w:left="425"/>
      </w:pPr>
      <w:r>
        <w:rPr>
          <w:b/>
          <w:sz w:val="22"/>
        </w:rPr>
        <w:t xml:space="preserve">8. </w:t>
      </w:r>
      <w:r>
        <w:rPr>
          <w:rFonts w:ascii="Times New Roman" w:hAnsi="Times New Roman" w:eastAsia="宋体"/>
          <w:color w:val="1F2937"/>
          <w:sz w:val="22"/>
        </w:rPr>
        <w:t>本地一手数据源（corpusdi 埃及国别页收录）：CAPMAS（capmas.gov.eg）、CBE（cbe.org.eg）、EEAA、GAFI 等。见平台埃及国别数据资源页</w:t>
      </w:r>
    </w:p>
    <w:p>
      <w:pPr>
        <w:spacing w:after="200" w:line="336" w:lineRule="auto"/>
        <w:jc w:val="both"/>
      </w:pPr>
      <w:r>
        <w:rPr>
          <w:rFonts w:ascii="Times New Roman" w:hAnsi="Times New Roman" w:eastAsia="宋体"/>
          <w:b w:val="0"/>
          <w:color w:val="4B5563"/>
          <w:sz w:val="18"/>
        </w:rPr>
        <w:t>© 2026 corpusdi 区域国别数据开放平台 · Diinsider 旗下。本文为基于公开资料的独立梳理，收录以"在埃及登记运营、具备可查证公开信息"为标准；机构受益人规模等数字均为自报或颁奖方转述口径。文中"—"表示公开信息未明确记载，不做臆测补齐。引用请注明出处。</w:t>
      </w:r>
    </w:p>
    <w:sectPr w:rsidR="00FC693F" w:rsidRPr="0006063C" w:rsidSect="00034616"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